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body>
    <w:p>
      <w:pPr>
        <w:rPr>
          <w:rFonts w:hint="eastAsia"/>
        </w:rPr>
      </w:pPr>
      <w:r>
        <w:rPr>
          <w:rFonts w:hint="eastAsia"/>
          <w:lang w:val="en-US" w:eastAsia="zh-CN"/>
        </w:rPr>
        <mc:AlternateContent>
          <mc:Choice Requires="wps">
            <w:drawing>
              <wp:anchor distT="0" distB="0" distL="91438" distR="91438" simplePos="0" relativeHeight="17" behindDoc="0" locked="0" layoutInCell="1" hidden="0" allowOverlap="1">
                <wp:simplePos x="0" y="0"/>
                <wp:positionH relativeFrom="column">
                  <wp:posOffset>0</wp:posOffset>
                </wp:positionH>
                <wp:positionV relativeFrom="paragraph">
                  <wp:posOffset>-734023</wp:posOffset>
                </wp:positionV>
                <wp:extent cx="2268220" cy="862964"/>
                <wp:effectExtent l="0" t="0" r="0" b="0"/>
                <wp:wrapNone/>
                <wp:docPr id="7" name="矩形 7"/>
                <wp:cNvGraphicFramePr>
                  <a:graphicFrameLocks noChangeAspect="0"/>
                </wp:cNvGraphicFramePr>
                <a:graphic>
                  <a:graphicData uri="http://schemas.microsoft.com/office/word/2010/wordprocessingShape">
                    <wps:wsp>
                      <wps:cNvSpPr/>
                      <wps:spPr>
                        <a:xfrm rot="0">
                          <a:off x="0" y="0"/>
                          <a:ext cx="2268220" cy="862964"/>
                        </a:xfrm>
                        <a:prstGeom prst="rect"/>
                        <a:solidFill>
                          <a:srgbClr val="FFFFFF"/>
                        </a:solidFill>
                        <a:ln w="9525" cmpd="sng">
                          <a:solidFill>
                            <a:srgbClr val="000000"/>
                          </a:solidFill>
                          <a:prstDash val="solid"/>
                          <a:miter/>
                        </a:ln>
                      </wps:spPr>
                      <wps:txbx id="8">
                        <w:txbxContent>
                          <w:p>
                            <w:pPr>
                              <w:spacing w:beforeLines="50" w:before="289" w:line="360" w:lineRule="exact"/>
                              <w:jc w:val="center"/>
                              <w:rPr>
                                <w:rFonts w:ascii="宋体" w:eastAsia="宋体" w:hint="eastAsia"/>
                                <w:sz w:val="24"/>
                              </w:rPr>
                            </w:pPr>
                            <w:r>
                              <w:rPr>
                                <w:rFonts w:ascii="宋体" w:eastAsia="宋体" w:hint="eastAsia"/>
                                <w:sz w:val="24"/>
                              </w:rPr>
                              <w:t>遂宁市市级行政规范性文件</w:t>
                            </w:r>
                          </w:p>
                          <w:p>
                            <w:pPr>
                              <w:spacing w:line="360" w:lineRule="exact"/>
                              <w:jc w:val="center"/>
                              <w:rPr>
                                <w:rFonts w:ascii="宋体" w:eastAsia="宋体" w:hint="eastAsia"/>
                                <w:sz w:val="24"/>
                              </w:rPr>
                            </w:pPr>
                            <w:r>
                              <w:rPr>
                                <w:rFonts w:ascii="宋体" w:eastAsia="宋体" w:hint="eastAsia"/>
                                <w:sz w:val="24"/>
                              </w:rPr>
                              <w:t>统一编号：</w:t>
                            </w:r>
                            <w:r>
                              <w:rPr>
                                <w:rFonts w:ascii="宋体" w:eastAsia="宋体" w:hint="eastAsia"/>
                                <w:sz w:val="24"/>
                              </w:rPr>
                              <w:t>CCZJR—2017—0</w:t>
                            </w:r>
                            <w:r>
                              <w:rPr>
                                <w:rFonts w:ascii="宋体" w:eastAsia="宋体" w:hint="eastAsia"/>
                                <w:sz w:val="24"/>
                              </w:rPr>
                              <w:t>5</w:t>
                            </w:r>
                            <w:r>
                              <w:rPr>
                                <w:rFonts w:ascii="宋体" w:eastAsia="宋体"/>
                                <w:sz w:val="24"/>
                              </w:rPr>
                              <w:t>6</w:t>
                            </w:r>
                          </w:p>
                        </w:txbxContent>
                      </wps:txbx>
                      <wps:bodyPr vert="horz" wrap="square" lIns="91440" tIns="45720" rIns="91440" bIns="45720" anchor="t" anchorCtr="0" upright="1">
                        <a:noAutofit/>
                      </wps:bodyPr>
                    </wps:wsp>
                  </a:graphicData>
                </a:graphic>
              </wp:anchor>
            </w:drawing>
          </mc:Choice>
          <mc:Fallback>
            <w:pict>
              <v:rect type="#_x0000_t1" id="矩形 9" o:spid="_x0000_s9" fillcolor="#FFFFFF" stroked="t" style="position:absolute;&#13;&#10;margin-left:0.0pt;&#13;&#10;margin-top:-57.79712pt;&#13;&#10;width:178.6pt;&#13;&#10;height:67.95pt;&#13;&#10;z-index:17;&#13;&#10;mso-position-horizontal:absolute;&#13;&#10;mso-position-vertical:absolute;&#13;&#10;mso-wrap-distance-left:7.1998425pt;&#13;&#10;mso-wrap-distance-right:7.1998425pt;&#13;&#10;mso-wrap-style:square;">
                <v:stroke color="000000"/>
                <v:textbox id="850" inset="2.54mm,1.27mm,2.54mm,1.27mm" o:insetmode="custom" style="layout-flow:horizontal;&#13;&#10;v-text-anchor:top;">
                  <w:txbxContent>
                    <w:p>
                      <w:pPr>
                        <w:spacing w:beforeLines="50" w:before="289" w:line="360" w:lineRule="exact"/>
                        <w:jc w:val="center"/>
                        <w:rPr>
                          <w:rFonts w:ascii="宋体" w:eastAsia="宋体" w:hint="eastAsia"/>
                          <w:sz w:val="24"/>
                        </w:rPr>
                      </w:pPr>
                      <w:r>
                        <w:rPr>
                          <w:rFonts w:ascii="宋体" w:eastAsia="宋体" w:hint="eastAsia"/>
                          <w:sz w:val="24"/>
                        </w:rPr>
                        <w:t>遂宁市市级行政规范性文件</w:t>
                      </w:r>
                    </w:p>
                    <w:p>
                      <w:pPr>
                        <w:spacing w:line="360" w:lineRule="exact"/>
                        <w:jc w:val="center"/>
                        <w:rPr>
                          <w:rFonts w:ascii="宋体" w:eastAsia="宋体" w:hint="eastAsia"/>
                          <w:sz w:val="24"/>
                        </w:rPr>
                      </w:pPr>
                      <w:r>
                        <w:rPr>
                          <w:rFonts w:ascii="宋体" w:eastAsia="宋体" w:hint="eastAsia"/>
                          <w:sz w:val="24"/>
                        </w:rPr>
                        <w:t>统一编号：</w:t>
                      </w:r>
                      <w:r>
                        <w:rPr>
                          <w:rFonts w:ascii="宋体" w:eastAsia="宋体" w:hint="eastAsia"/>
                          <w:sz w:val="24"/>
                        </w:rPr>
                        <w:t>CCZJR—2017—0</w:t>
                      </w:r>
                      <w:r>
                        <w:rPr>
                          <w:rFonts w:ascii="宋体" w:eastAsia="宋体" w:hint="eastAsia"/>
                          <w:sz w:val="24"/>
                        </w:rPr>
                        <w:t>5</w:t>
                      </w:r>
                      <w:r>
                        <w:rPr>
                          <w:rFonts w:ascii="宋体" w:eastAsia="宋体"/>
                          <w:sz w:val="24"/>
                        </w:rPr>
                        <w:t>6</w:t>
                      </w:r>
                    </w:p>
                  </w:txbxContent>
                </v:textbox>
              </v:rect>
            </w:pict>
          </mc:Fallback>
        </mc:AlternateContent>
      </w:r>
    </w:p>
    <w:tbl>
      <w:tblPr>
        <w:jc w:val="center"/>
        <w:tblW w:w="8532"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8532"/>
      </w:tblGrid>
      <w:tr>
        <w:trPr>
          <w:trHeight w:val="585"/>
        </w:trPr>
        <w:tc>
          <w:tcPr>
            <w:tcW w:w="8532" w:type="dxa"/>
            <w:tcBorders>
              <w:top w:val="nil"/>
              <w:left w:val="nil"/>
              <w:bottom w:val="nil"/>
              <w:right w:val="nil"/>
              <w:tl2br w:val="nil"/>
              <w:tr2bl w:val="nil"/>
            </w:tcBorders>
          </w:tcPr>
          <w:p>
            <w:pPr>
              <w:spacing w:line="1400" w:lineRule="exact"/>
              <w:jc w:val="distribute"/>
              <w:rPr>
                <w:rFonts w:ascii="方正小标宋简体" w:eastAsia="方正小标宋简体" w:hint="eastAsia"/>
                <w:color w:val="FF0000"/>
                <w:w w:val="80"/>
                <w:sz w:val="100"/>
                <w:szCs w:val="100"/>
              </w:rPr>
            </w:pPr>
            <w:r>
              <w:rPr>
                <w:rFonts w:ascii="方正小标宋简体" w:eastAsia="方正小标宋简体" w:hint="eastAsia"/>
                <w:color w:val="FF0000"/>
                <w:w w:val="80"/>
                <w:sz w:val="100"/>
                <w:szCs w:val="100"/>
              </w:rPr>
              <w:t>遂宁市财政局</w:t>
            </w:r>
          </w:p>
          <w:p>
            <w:pPr>
              <w:spacing w:line="1400" w:lineRule="exact"/>
              <w:jc w:val="distribute"/>
              <w:rPr>
                <w:rFonts w:ascii="方正小标宋简体" w:eastAsia="方正小标宋简体" w:hint="eastAsia"/>
                <w:color w:val="FF0000"/>
                <w:w w:val="75"/>
                <w:sz w:val="100"/>
                <w:szCs w:val="100"/>
              </w:rPr>
            </w:pPr>
            <w:r>
              <w:rPr>
                <w:rFonts w:ascii="方正小标宋简体" w:eastAsia="方正小标宋简体" w:hint="eastAsia"/>
                <w:color w:val="FF0000"/>
                <w:w w:val="75"/>
                <w:sz w:val="100"/>
                <w:szCs w:val="100"/>
              </w:rPr>
              <w:t>遂宁市住房和城乡建设局</w:t>
            </w:r>
          </w:p>
        </w:tc>
      </w:tr>
    </w:tbl>
    <w:p>
      <w:pPr>
        <w:spacing w:line="240" w:lineRule="exact"/>
        <w:rPr>
          <w:rFonts w:hint="eastAsia"/>
        </w:rPr>
      </w:pPr>
    </w:p>
    <w:p>
      <w:pPr>
        <w:rPr>
          <w:rFonts w:hint="eastAsia"/>
        </w:rPr>
      </w:pPr>
    </w:p>
    <w:p>
      <w:pPr>
        <w:jc w:val="center"/>
        <w:rPr>
          <w:rFonts w:hint="eastAsia"/>
        </w:rPr>
      </w:pPr>
      <w:r>
        <w:rPr>
          <w:rFonts w:hint="eastAsia"/>
        </w:rPr>
        <w:t>遂财</w:t>
      </w:r>
      <w:r>
        <w:t>综</w:t>
      </w:r>
      <w:r>
        <w:rPr>
          <w:rFonts w:hint="eastAsia"/>
        </w:rPr>
        <w:t>〔2017〕</w:t>
      </w:r>
      <w:r>
        <w:t>84</w:t>
      </w:r>
      <w:r>
        <w:rPr>
          <w:rFonts w:hint="eastAsia"/>
        </w:rPr>
        <w:t>号</w:t>
      </w:r>
    </w:p>
    <w:p>
      <w:pPr>
        <w:spacing w:line="700" w:lineRule="exact"/>
        <w:rPr>
          <w:rFonts w:hint="eastAsia"/>
        </w:rPr>
      </w:pPr>
      <w:r>
        <w:rPr>
          <w:rFonts w:hint="eastAsia"/>
          <w:lang w:val="en-US" w:eastAsia="zh-CN"/>
        </w:rPr>
        <mc:AlternateContent>
          <mc:Choice Requires="wps">
            <w:drawing>
              <wp:anchor distT="0" distB="0" distL="114300" distR="114300" simplePos="0" relativeHeight="18" behindDoc="0" locked="0" layoutInCell="1" hidden="0" allowOverlap="1">
                <wp:simplePos x="0" y="0"/>
                <wp:positionH relativeFrom="column">
                  <wp:posOffset>3809</wp:posOffset>
                </wp:positionH>
                <wp:positionV relativeFrom="paragraph">
                  <wp:posOffset>114298</wp:posOffset>
                </wp:positionV>
                <wp:extent cx="5618480" cy="0"/>
                <wp:effectExtent l="0" t="0" r="0" b="0"/>
                <wp:wrapNone/>
                <wp:docPr id="10" name="直线 10"/>
                <wp:cNvGraphicFramePr>
                  <a:graphicFrameLocks noChangeAspect="0"/>
                </wp:cNvGraphicFramePr>
                <a:graphic>
                  <a:graphicData uri="http://schemas.microsoft.com/office/word/2010/wordprocessingShape">
                    <wps:wsp>
                      <wps:cNvSpPr/>
                      <wps:spPr>
                        <a:xfrm rot="0">
                          <a:off x="0" y="0"/>
                          <a:ext cx="5618480" cy="0"/>
                        </a:xfrm>
                        <a:prstGeom prst="line"/>
                        <a:noFill/>
                        <a:ln w="25400" cmpd="sng">
                          <a:solidFill>
                            <a:srgbClr val="FF0000"/>
                          </a:solidFill>
                          <a:prstDash val="solid"/>
                          <a:miter/>
                        </a:ln>
                      </wps:spPr>
                      <wps:bodyPr vert="horz" wrap="square" lIns="91440" tIns="45720" rIns="91440" bIns="45720" anchor="t" anchorCtr="0" upright="1">
                        <a:noAutofit/>
                      </wps:bodyPr>
                    </wps:wsp>
                  </a:graphicData>
                </a:graphic>
              </wp:anchor>
            </w:drawing>
          </mc:Choice>
          <mc:Fallback>
            <w:pict>
              <v:line type="#_x0000_t20" id="直线 11" o:spid="_x0000_s11" from="0.29999542pt,8.999863pt" to="442.7pt,8.999863pt" filled="f" stroked="t" strokeweight="2.0pt" style="position:absolute;&#13;&#10;z-index:18;&#13;&#10;mso-position-horizontal:absolute;&#13;&#10;mso-position-vertical:absolute;">
                <v:stroke color="FF0000"/>
              </v:line>
            </w:pict>
          </mc:Fallback>
        </mc:AlternateContent>
      </w:r>
    </w:p>
    <w:p>
      <w:pPr>
        <w:rPr>
          <w:rFonts w:hint="eastAsia"/>
        </w:rPr>
      </w:pPr>
    </w:p>
    <w:p>
      <w:pPr>
        <w:spacing w:line="700" w:lineRule="exact"/>
        <w:jc w:val="center"/>
        <w:rPr>
          <w:rFonts w:ascii="方正小标宋简体" w:eastAsia="方正小标宋简体"/>
          <w:sz w:val="44"/>
          <w:szCs w:val="44"/>
        </w:rPr>
      </w:pPr>
      <w:r>
        <w:rPr>
          <w:rFonts w:eastAsia="方正小标宋简体" w:cs="Times New Roman"/>
          <w:sz w:val="44"/>
          <w:szCs w:val="44"/>
          <w:lang w:bidi="ar-SA"/>
        </w:rPr>
        <w:t>遂</w:t>
      </w:r>
      <w:r>
        <w:rPr>
          <w:rFonts w:ascii="方正小标宋简体" w:eastAsia="方正小标宋简体" w:hint="eastAsia"/>
          <w:sz w:val="44"/>
          <w:szCs w:val="44"/>
        </w:rPr>
        <w:t>宁市财政局  遂宁市住房和城乡建设局关于印发《遂宁市城镇保障性安居工程专项</w:t>
      </w:r>
    </w:p>
    <w:p>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资金管理办法</w:t>
      </w:r>
      <w:r>
        <w:rPr>
          <w:rFonts w:ascii="方正小标宋简体" w:eastAsia="方正小标宋简体"/>
          <w:sz w:val="44"/>
          <w:szCs w:val="44"/>
        </w:rPr>
        <w:t>（试行）</w:t>
      </w:r>
      <w:r>
        <w:rPr>
          <w:rFonts w:ascii="方正小标宋简体" w:eastAsia="方正小标宋简体" w:hint="eastAsia"/>
          <w:sz w:val="44"/>
          <w:szCs w:val="44"/>
        </w:rPr>
        <w:t>》的通知</w:t>
      </w:r>
    </w:p>
    <w:p>
      <w:pPr>
        <w:spacing w:line="660" w:lineRule="exact"/>
      </w:pPr>
    </w:p>
    <w:p>
      <w:pPr>
        <w:spacing w:line="660" w:lineRule="exact"/>
      </w:pPr>
      <w:r>
        <w:t>各县（区）、园区财政局，住房</w:t>
      </w:r>
      <w:r>
        <w:rPr>
          <w:rFonts w:hint="eastAsia"/>
        </w:rPr>
        <w:t>和</w:t>
      </w:r>
      <w:r>
        <w:t>城乡建设局：</w:t>
      </w:r>
    </w:p>
    <w:p>
      <w:pPr>
        <w:spacing w:line="660" w:lineRule="exact"/>
        <w:ind w:firstLineChars="200" w:firstLine="631"/>
      </w:pPr>
      <w:r>
        <w:t>为了规范城镇保障性安居工程专项资金管理，提高资金使用效益，根据《四川省财政城镇保障性安居工程专项资金管理办法》（川财综〔2017〕19号）等有关规定，我们制定了《遂宁市城镇保障性安居工程专项资金管理办法（试行）》。现印发给你们，请遵照执行。</w:t>
      </w:r>
    </w:p>
    <w:p>
      <w:pPr>
        <w:ind w:firstLineChars="200" w:firstLine="631"/>
      </w:pPr>
    </w:p>
    <w:p>
      <w:pPr>
        <w:ind w:firstLineChars="200" w:firstLine="631"/>
      </w:pPr>
    </w:p>
    <w:p>
      <w:pPr>
        <w:ind w:firstLineChars="200" w:firstLine="631"/>
      </w:pPr>
    </w:p>
    <w:p>
      <w:pPr>
        <w:ind w:firstLineChars="200" w:firstLine="631"/>
      </w:pPr>
      <w:r>
        <w:t>遂宁市财政局             遂宁市住房和城乡建设局</w:t>
      </w:r>
    </w:p>
    <w:p>
      <w:pPr>
        <w:ind w:firstLine="3779"/>
        <w:jc w:val="center"/>
      </w:pPr>
      <w:r>
        <w:t>2017年9月8日</w:t>
      </w:r>
    </w:p>
    <w:p/>
    <w:p/>
    <w:p/>
    <w:p/>
    <w:p/>
    <w:p/>
    <w:p/>
    <w:p/>
    <w:p/>
    <w:p/>
    <w:p/>
    <w:p/>
    <w:p/>
    <w:p/>
    <w:p/>
    <w:p/>
    <w:p/>
    <w:p>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遂宁市城镇保障性安居工程专项资金</w:t>
      </w:r>
    </w:p>
    <w:p>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管理办法（试行）</w:t>
      </w:r>
    </w:p>
    <w:p/>
    <w:p>
      <w:pPr>
        <w:jc w:val="center"/>
        <w:rPr>
          <w:rFonts w:ascii="黑体" w:eastAsia="黑体"/>
        </w:rPr>
      </w:pPr>
      <w:r>
        <w:rPr>
          <w:rFonts w:ascii="黑体" w:eastAsia="黑体" w:hint="eastAsia"/>
        </w:rPr>
        <w:t>第一章</w:t>
        <w:tab/>
        <w:t>总则</w:t>
      </w:r>
    </w:p>
    <w:p>
      <w:pPr>
        <w:ind w:firstLineChars="200" w:firstLine="631"/>
      </w:pPr>
      <w:r>
        <w:rPr>
          <w:rFonts w:ascii="黑体" w:eastAsia="黑体" w:hint="eastAsia"/>
        </w:rPr>
        <w:t>第一条</w:t>
      </w:r>
      <w:r>
        <w:t xml:space="preserve">  为了规范遂宁市城镇保障性安居工程专项资金（以下简称专项资金）管理，提高资金使用效益，根据《四川省财政城镇保障性安居工程专项资金管理办法》（川财综〔2017〕19号）等有关规定，制定本办法。</w:t>
      </w:r>
    </w:p>
    <w:p>
      <w:pPr>
        <w:ind w:firstLineChars="200" w:firstLine="631"/>
      </w:pPr>
      <w:r>
        <w:rPr>
          <w:rFonts w:ascii="黑体" w:eastAsia="黑体" w:hint="eastAsia"/>
        </w:rPr>
        <w:t>第二条</w:t>
      </w:r>
      <w:r>
        <w:t xml:space="preserve">  本办法所称专项资金，是指中央、省级专项转移支付安排的资金和市级财政统筹安排的住房公积金增值收益、土地收入计提的资金，用于支持各地发放租赁补贴、城市棚户区改造及公共租赁住房建设。</w:t>
      </w:r>
    </w:p>
    <w:p>
      <w:pPr>
        <w:ind w:firstLineChars="200" w:firstLine="631"/>
      </w:pPr>
      <w:r>
        <w:rPr>
          <w:rFonts w:ascii="黑体" w:eastAsia="黑体" w:hint="eastAsia"/>
        </w:rPr>
        <w:t>第三条</w:t>
      </w:r>
      <w:r>
        <w:t xml:space="preserve">  专项资金管理遵循以下原则：</w:t>
      </w:r>
    </w:p>
    <w:p>
      <w:pPr>
        <w:ind w:firstLineChars="200" w:firstLine="631"/>
      </w:pPr>
      <w:r>
        <w:t>（一）公开、公平、公正。专项资金管理办法向社会公开，专项资金分配过程公平、公正，分配结果按规定向社会公开。</w:t>
      </w:r>
    </w:p>
    <w:p>
      <w:pPr>
        <w:ind w:firstLineChars="200" w:firstLine="631"/>
      </w:pPr>
      <w:r>
        <w:t>（二）突出重点。向城镇保障性安居工程任务重、财政困难程度高及工作绩效好的地区适当倾斜，根据国家政策要求和城镇保障性安居工程需要，调整支出投向重点。</w:t>
      </w:r>
    </w:p>
    <w:p>
      <w:pPr>
        <w:ind w:firstLineChars="200" w:firstLine="631"/>
      </w:pPr>
      <w:r>
        <w:t>（三）实物安置与货币安置相结合。在实物安置基础上，鼓励各地积极推进棚改货币化安置工作。对于商品住房库存量较大、市场房源充足的地方，要进一步提高棚改货币化安置比例。</w:t>
      </w:r>
    </w:p>
    <w:p>
      <w:pPr>
        <w:ind w:firstLineChars="200" w:firstLine="631"/>
      </w:pPr>
      <w:r>
        <w:t>（四）注重绩效。对城镇保障性安居工程财政资金使用管理情况开展绩效评价，强化绩效评价结果运用，绩效评价结果将作为分配城镇保障性安居工程资金的参考依据。</w:t>
      </w:r>
    </w:p>
    <w:p>
      <w:pPr>
        <w:ind w:firstLineChars="200" w:firstLine="631"/>
      </w:pPr>
      <w:r>
        <w:t>（五）强化监督。各地要加强专项资金分配和使用管理，强化监督检查，接受上级有关部门监管。</w:t>
      </w:r>
    </w:p>
    <w:p>
      <w:pPr>
        <w:jc w:val="center"/>
        <w:rPr>
          <w:rFonts w:ascii="黑体" w:eastAsia="黑体"/>
        </w:rPr>
      </w:pPr>
      <w:r>
        <w:rPr>
          <w:rFonts w:ascii="黑体" w:eastAsia="黑体" w:hint="eastAsia"/>
        </w:rPr>
        <w:t>第二章  资金分配</w:t>
      </w:r>
    </w:p>
    <w:p>
      <w:pPr>
        <w:ind w:firstLineChars="200" w:firstLine="631"/>
      </w:pPr>
      <w:r>
        <w:rPr>
          <w:rFonts w:ascii="黑体" w:eastAsia="黑体" w:hint="eastAsia"/>
        </w:rPr>
        <w:t>第四条</w:t>
      </w:r>
      <w:r>
        <w:t xml:space="preserve">  专项资金采用因素法，按照核定的各地区年度租赁补贴户数、城市棚户区改造套数、绩效评价结果等因素以及相应权重，结合财政困难程度进行分配。上述因素将根据国家城镇保障性安居工程政策调整而相应调整。具体计算公式如下：</w:t>
      </w:r>
    </w:p>
    <w:p>
      <w:pPr>
        <w:ind w:firstLineChars="200" w:firstLine="631"/>
      </w:pPr>
      <w:r>
        <w:t>分配给某地区的专项资金总额＝〔（经核定的该地区年度租赁补贴户数×该地区财政困难程度系数）÷I:（经核定的各地区年度租赁补贴户数×相应地区财政困难程度系数）×相应权重＋（经核定的该地区年度城市棚户区改造户数×该地区财政困难程度系数）÷I:（经核定的各地区年度城市棚户区改造户数×相应地区财政困难程度系数）×相应权重＋（经核定的该地区上年度绩效评价结果÷Z经核定的各地区上年度绩效评价结果）×相应权重〕×年度专项资金总规模。</w:t>
      </w:r>
    </w:p>
    <w:p>
      <w:pPr>
        <w:ind w:firstLineChars="200" w:firstLine="631"/>
      </w:pPr>
      <w:r>
        <w:rPr>
          <w:rFonts w:ascii="黑体" w:eastAsia="黑体" w:hint="eastAsia"/>
        </w:rPr>
        <w:t>第五条</w:t>
      </w:r>
      <w:r>
        <w:t xml:space="preserve">  实行实物安置方式的棚改安置住房开工统计口径为：设计采用地基处理的，开始地基处理施工；设计采用桩基础的，开始桩基础施工。开工数量按已开工单体工程设计的安置住房套数进行统计。</w:t>
      </w:r>
    </w:p>
    <w:p>
      <w:pPr>
        <w:ind w:firstLineChars="200" w:firstLine="631"/>
      </w:pPr>
      <w:r>
        <w:t>实行货币化安置方式的棚改安置套数按以下口径统计：</w:t>
      </w:r>
    </w:p>
    <w:p>
      <w:pPr>
        <w:ind w:firstLineChars="200" w:firstLine="631"/>
      </w:pPr>
      <w:r>
        <w:t>（一）实行直接货币补偿的，以棚改项目为单位，按以下公式计算开工套数：直接货币补偿开工套数＝项目货币补偿款／（当地上一年度新建商品住房均价×80平方米），计算结果取整不进位。按照以上公式计算核定的开工套数小于签订征收补偿协议的户数时，可以按照签订征收补偿协议的户数统计开工套数。对于采取实物安置与货币补偿相结合的要分别计算核定。</w:t>
      </w:r>
    </w:p>
    <w:p>
      <w:pPr>
        <w:ind w:firstLineChars="200" w:firstLine="631"/>
      </w:pPr>
      <w:r>
        <w:t>（二）实行政府组织棚改居民购买商品住房（含当地政策性住房等）安置的，按被征收人与房屋征收部门签订的合同（协议）中明确的购买住房套数，核定开工量。按上述规定无法统计的，可按照上一项中的计算公式核算。</w:t>
      </w:r>
    </w:p>
    <w:p>
      <w:pPr>
        <w:ind w:firstLineChars="200" w:firstLine="631"/>
      </w:pPr>
      <w:r>
        <w:t>（三）实行政府购买商品住房（含当地政策性住房等）安置的，按政府部门或其委托的单位与商品住房所有者签订的购买协议（合同）中载明的购买套数核定开工量。</w:t>
      </w:r>
    </w:p>
    <w:p>
      <w:pPr>
        <w:ind w:firstLineChars="200" w:firstLine="631"/>
      </w:pPr>
      <w:r>
        <w:rPr>
          <w:rFonts w:ascii="黑体" w:eastAsia="黑体" w:hint="eastAsia"/>
        </w:rPr>
        <w:t>第六条</w:t>
      </w:r>
      <w:r>
        <w:t xml:space="preserve">  租赁补贴户数、城市棚户区改造套数、绩效评价结果等因素的权重，根据各年度城镇保障性安居工程任务状况、需要政府投入的资金需求、上年度专项资金补助水平以及绩效评价工作开展情况等因素综合确定。其中，绩效评价结果权重为20%。</w:t>
      </w:r>
    </w:p>
    <w:p>
      <w:pPr>
        <w:ind w:firstLineChars="200" w:firstLine="631"/>
      </w:pPr>
      <w:r>
        <w:rPr>
          <w:rFonts w:ascii="黑体" w:eastAsia="黑体" w:hint="eastAsia"/>
        </w:rPr>
        <w:t>第七条</w:t>
      </w:r>
      <w:r>
        <w:t xml:space="preserve">  对于发生重大自然灾害等特殊情况的地区，以及党中央、国务院和省委、省政府以及市委、市政府确定需要重点支持的地区和项目，市财政局会同市住建局在专项资金分配时予以适当倾斜。</w:t>
      </w:r>
    </w:p>
    <w:p>
      <w:pPr>
        <w:jc w:val="center"/>
        <w:rPr>
          <w:rFonts w:ascii="黑体" w:eastAsia="黑体"/>
        </w:rPr>
      </w:pPr>
      <w:r>
        <w:rPr>
          <w:rFonts w:ascii="黑体" w:eastAsia="黑体" w:hint="eastAsia"/>
        </w:rPr>
        <w:t>第三章  资金申报和审核</w:t>
      </w:r>
    </w:p>
    <w:p>
      <w:pPr>
        <w:ind w:firstLineChars="200" w:firstLine="631"/>
      </w:pPr>
      <w:r>
        <w:rPr>
          <w:rFonts w:ascii="黑体" w:eastAsia="黑体" w:hint="eastAsia"/>
        </w:rPr>
        <w:t>第八条</w:t>
      </w:r>
      <w:r>
        <w:t xml:space="preserve">  各县</w:t>
      </w:r>
      <w:r>
        <w:rPr>
          <w:rFonts w:hint="eastAsia"/>
        </w:rPr>
        <w:t>(</w:t>
      </w:r>
      <w:r>
        <w:t>区)、园区财政部门应当会同同级住房保障部门及时申报资料，并汇总审核申报资料，于每年2月15日之前向市财政局、市住建局提交下列资料：</w:t>
      </w:r>
    </w:p>
    <w:p>
      <w:pPr>
        <w:ind w:firstLineChars="200" w:firstLine="631"/>
      </w:pPr>
      <w:r>
        <w:t>（一）县</w:t>
      </w:r>
      <w:r>
        <w:rPr>
          <w:rFonts w:hint="eastAsia"/>
        </w:rPr>
        <w:t>(</w:t>
      </w:r>
      <w:r>
        <w:t>区)、园区城镇住房保障家庭租赁补贴年度计划，城市棚户区改造年度计划，公共租赁住房年度计划，签订的目标责任书，住房保障部门年度工作总结。城镇保障性安居工程计划以及列入计划的项目发生变更的，以市、县政府出具的文件为准。</w:t>
      </w:r>
    </w:p>
    <w:p>
      <w:pPr>
        <w:ind w:firstLineChars="200" w:firstLine="631"/>
      </w:pPr>
      <w:r>
        <w:t>（二）加盖县</w:t>
      </w:r>
      <w:r>
        <w:rPr>
          <w:rFonts w:hint="eastAsia"/>
        </w:rPr>
        <w:t>(</w:t>
      </w:r>
      <w:r>
        <w:t>区)、园区财政部门和住房保障部门印章的《城镇住房保障家庭租赁补贴计划和实施情况表》（附件1）、《城市棚户区改造项目计划和完成情况表》（附件2）、《公共租赁住房项目计划和完成情况表》（附件3）、《中央财政城镇保障性安居工程专项资金收支情况表》（附件4）。</w:t>
      </w:r>
    </w:p>
    <w:p>
      <w:pPr>
        <w:ind w:firstLineChars="200" w:firstLine="631"/>
      </w:pPr>
      <w:r>
        <w:t>（三）县</w:t>
      </w:r>
      <w:r>
        <w:rPr>
          <w:rFonts w:hint="eastAsia"/>
        </w:rPr>
        <w:t>(</w:t>
      </w:r>
      <w:r>
        <w:t>区)、园区有关部门上年度实际发放城镇住房保障家庭租赁补贴名单的电子版数据；上年度城市棚户区改造计划，城市棚户区改造项目实物安置住房开工证明及货币化安置协议等证明材料的电子版数据；上年度公共租赁住房开工证明以及签订购买合同或协议的电子版数据；上年度新建商品住房均价。</w:t>
      </w:r>
    </w:p>
    <w:p>
      <w:pPr>
        <w:ind w:firstLineChars="200" w:firstLine="631"/>
      </w:pPr>
      <w:r>
        <w:t>（四）《城镇保障性安居工程财政资金绩效评价量化指标表》（附件5）等绩效评价有关材料。</w:t>
      </w:r>
    </w:p>
    <w:p>
      <w:pPr>
        <w:ind w:firstLineChars="200" w:firstLine="631"/>
      </w:pPr>
      <w:r>
        <w:t>（五）县</w:t>
      </w:r>
      <w:r>
        <w:rPr>
          <w:rFonts w:hint="eastAsia"/>
        </w:rPr>
        <w:t>(</w:t>
      </w:r>
      <w:r>
        <w:t>区)、园区财政部门、住房保障部门对县（区）、园区申报材料审核情况的说明。</w:t>
      </w:r>
    </w:p>
    <w:p>
      <w:pPr>
        <w:ind w:firstLineChars="200" w:firstLine="631"/>
      </w:pPr>
      <w:r>
        <w:t>（六）与审核有关的其他材料。</w:t>
      </w:r>
    </w:p>
    <w:p>
      <w:pPr>
        <w:ind w:firstLineChars="200" w:firstLine="631"/>
      </w:pPr>
      <w:r>
        <w:rPr>
          <w:rFonts w:ascii="黑体" w:eastAsia="黑体" w:hint="eastAsia"/>
        </w:rPr>
        <w:t>第九条</w:t>
      </w:r>
      <w:r>
        <w:t xml:space="preserve">  市财政局会同市住建局汇总审核全市申报材料，并于每年3月15日之前报送财政厅和住建厅，并迎接财政部驻四川财政监察专员办事处（以下简称专员办）审核和实地抽查。</w:t>
      </w:r>
    </w:p>
    <w:p>
      <w:pPr>
        <w:jc w:val="center"/>
        <w:rPr>
          <w:rFonts w:ascii="黑体" w:eastAsia="黑体"/>
        </w:rPr>
      </w:pPr>
      <w:r>
        <w:rPr>
          <w:rFonts w:ascii="黑体" w:eastAsia="黑体" w:hint="eastAsia"/>
        </w:rPr>
        <w:t>第四章  资金下达</w:t>
      </w:r>
    </w:p>
    <w:p>
      <w:pPr>
        <w:ind w:firstLineChars="200" w:firstLine="631"/>
      </w:pPr>
      <w:r>
        <w:rPr>
          <w:rFonts w:ascii="黑体" w:eastAsia="黑体" w:hint="eastAsia"/>
        </w:rPr>
        <w:t>第十条</w:t>
      </w:r>
      <w:r>
        <w:t xml:space="preserve">   市财政局会同市住建局，将市级城镇保障性安居工程专项资金预算计提方案明确后，于60日内分配下达县区、园区财政部门和市本级相关部门；市财政局收到中省财政专项资金预算文件后，会同市住建局尽快将资金分解或明确到具体项目，于30日内分配下达县</w:t>
      </w:r>
      <w:r>
        <w:rPr>
          <w:rFonts w:hint="eastAsia"/>
        </w:rPr>
        <w:t>(</w:t>
      </w:r>
      <w:r>
        <w:t>区)、园区财政部门和市本级相关部门。同时，将分配结果报上级财政部门、住房保障部门备案，并同时将下达文件抄送市人大财经委。</w:t>
      </w:r>
    </w:p>
    <w:p>
      <w:pPr>
        <w:ind w:firstLineChars="200" w:firstLine="631"/>
      </w:pPr>
      <w:r>
        <w:rPr>
          <w:rFonts w:ascii="黑体" w:eastAsia="黑体" w:hint="eastAsia"/>
        </w:rPr>
        <w:t>第十一条</w:t>
      </w:r>
      <w:r>
        <w:t xml:space="preserve">  县</w:t>
      </w:r>
      <w:r>
        <w:rPr>
          <w:rFonts w:hint="eastAsia"/>
        </w:rPr>
        <w:t>(</w:t>
      </w:r>
      <w:r>
        <w:t>区)、园区住房保障部门应当督促项目实施单位加快城镇保障性安居工程项目进度，县</w:t>
      </w:r>
      <w:r>
        <w:rPr>
          <w:rFonts w:hint="eastAsia"/>
        </w:rPr>
        <w:t>(</w:t>
      </w:r>
      <w:r>
        <w:t>区)、园区财政部门应当确保城镇保障性安居工程资金需要，切实提高资金使用效率。</w:t>
      </w:r>
    </w:p>
    <w:p>
      <w:pPr>
        <w:ind w:firstLineChars="200" w:firstLine="631"/>
      </w:pPr>
      <w:r>
        <w:t>专项资金的支付，按照国库集中支付制度的有关规定执行。属于政府采购范围的，按照政府采购有关法律制度规定执行。</w:t>
      </w:r>
    </w:p>
    <w:p>
      <w:pPr>
        <w:jc w:val="center"/>
        <w:rPr>
          <w:rFonts w:ascii="黑体" w:eastAsia="黑体"/>
        </w:rPr>
      </w:pPr>
      <w:r>
        <w:rPr>
          <w:rFonts w:ascii="黑体" w:eastAsia="黑体" w:hint="eastAsia"/>
        </w:rPr>
        <w:t>第五章  使用管理</w:t>
      </w:r>
    </w:p>
    <w:p>
      <w:pPr>
        <w:ind w:firstLineChars="200" w:firstLine="631"/>
      </w:pPr>
      <w:r>
        <w:rPr>
          <w:rFonts w:ascii="黑体" w:eastAsia="黑体" w:hint="eastAsia"/>
        </w:rPr>
        <w:t>第十二条</w:t>
      </w:r>
      <w:r>
        <w:t xml:space="preserve">  专项资金可统筹用于支持纳入国家城镇保障性安居工程计划的项目：</w:t>
      </w:r>
    </w:p>
    <w:p>
      <w:pPr>
        <w:ind w:firstLineChars="200" w:firstLine="631"/>
      </w:pPr>
      <w:r>
        <w:t>（一）向符合条件的在市场租赁住房的城镇住房保障家庭发放租赁补贴，不得向政府投资运营的公共租赁住房承租家庭再发放租赁补贴。</w:t>
      </w:r>
    </w:p>
    <w:p>
      <w:pPr>
        <w:ind w:firstLineChars="200" w:firstLine="631"/>
      </w:pPr>
      <w:r>
        <w:t>（二）支持城市棚户区改造项目，包括用于城市棚户区改造项目中的征收、安置房建设（购买）和相关配套基础设施建设等支出，不得用于城市棚户区改造中回迁安置之外的住房开发、配套建设的商业和服务业等经营性设施建设支出。</w:t>
      </w:r>
    </w:p>
    <w:p>
      <w:pPr>
        <w:ind w:firstLineChars="200" w:firstLine="631"/>
      </w:pPr>
      <w:r>
        <w:t>（三）支持公共租赁住房项目建设（含新建、改建、购买公共租赁住房）。</w:t>
      </w:r>
    </w:p>
    <w:p>
      <w:pPr>
        <w:ind w:firstLineChars="200" w:firstLine="631"/>
      </w:pPr>
      <w:r>
        <w:t>专项资金可以直接支出，也可以采取注入项目资本金、贷款贴息等方式，发挥财政资金引导作用，吸引社会资本参与城镇保障性安居工程投资建设和运营管理。</w:t>
      </w:r>
    </w:p>
    <w:p>
      <w:pPr>
        <w:ind w:firstLineChars="200" w:firstLine="631"/>
      </w:pPr>
      <w:r>
        <w:rPr>
          <w:rFonts w:ascii="黑体" w:eastAsia="黑体" w:hint="eastAsia"/>
        </w:rPr>
        <w:t>第十三条</w:t>
      </w:r>
      <w:r>
        <w:t xml:space="preserve">  县</w:t>
      </w:r>
      <w:r>
        <w:rPr>
          <w:rFonts w:hint="eastAsia"/>
        </w:rPr>
        <w:t>(</w:t>
      </w:r>
      <w:r>
        <w:t>区)、园区财政部门应当对专项资金实行专项管理、分账核算，并严格按照规定用途使用；不得截留、挤占、挪作他用，不得用于平衡本级预算。</w:t>
      </w:r>
    </w:p>
    <w:p>
      <w:pPr>
        <w:ind w:firstLineChars="200" w:firstLine="631"/>
      </w:pPr>
      <w:r>
        <w:t>县</w:t>
      </w:r>
      <w:r>
        <w:rPr>
          <w:rFonts w:hint="eastAsia"/>
        </w:rPr>
        <w:t>(</w:t>
      </w:r>
      <w:r>
        <w:t>区)、园区住房保障部门及项目实施单位应当严格按照本办法规定使用专项资金，不得挪作他用。专项资金不得用于人员经费、公用经费、购置交通工具等支出。</w:t>
      </w:r>
    </w:p>
    <w:p>
      <w:pPr>
        <w:jc w:val="center"/>
        <w:rPr>
          <w:rFonts w:ascii="黑体" w:eastAsia="黑体"/>
        </w:rPr>
      </w:pPr>
      <w:r>
        <w:rPr>
          <w:rFonts w:ascii="黑体" w:eastAsia="黑体" w:hint="eastAsia"/>
        </w:rPr>
        <w:t>第六章  绩效评价</w:t>
      </w:r>
    </w:p>
    <w:p>
      <w:pPr>
        <w:ind w:firstLineChars="200" w:firstLine="631"/>
      </w:pPr>
      <w:r>
        <w:rPr>
          <w:rFonts w:ascii="黑体" w:eastAsia="黑体" w:hint="eastAsia"/>
        </w:rPr>
        <w:t>第十四条</w:t>
      </w:r>
      <w:r>
        <w:t xml:space="preserve">  绩效评价以预算年度为周期，对预算年度内各地区城镇保障性安居工程资金管理、项目管理、项目效益和居民满意度情况进行客观、公正的评价。绩效评价工作由市财政局、市住建局统一组织、分步实施。</w:t>
      </w:r>
    </w:p>
    <w:p>
      <w:pPr>
        <w:ind w:firstLineChars="200" w:firstLine="631"/>
      </w:pPr>
      <w:r>
        <w:t>各地可以根据需要，委托专家、中介机构等第三方参与绩效评价工作。</w:t>
      </w:r>
    </w:p>
    <w:p>
      <w:pPr>
        <w:ind w:firstLineChars="200" w:firstLine="631"/>
      </w:pPr>
      <w:r>
        <w:rPr>
          <w:rFonts w:ascii="黑体" w:eastAsia="黑体" w:hint="eastAsia"/>
        </w:rPr>
        <w:t>第十五条</w:t>
      </w:r>
      <w:r>
        <w:t xml:space="preserve">  绩效评价的工作程序按照市财政局会同市住建局制定的城镇保障性安居工程财政资金绩效评价办法实施。</w:t>
      </w:r>
    </w:p>
    <w:p>
      <w:pPr>
        <w:ind w:firstLineChars="200" w:firstLine="631"/>
      </w:pPr>
      <w:r>
        <w:rPr>
          <w:rFonts w:ascii="黑体" w:eastAsia="黑体" w:hint="eastAsia"/>
        </w:rPr>
        <w:t>第十六条</w:t>
      </w:r>
      <w:r>
        <w:t xml:space="preserve">  绩效评价结果将作为分配以后年度城镇保障性安居工程资金、制定调整相关政策以及加强保障性安居工程建设和运营管理的参考依据。</w:t>
      </w:r>
    </w:p>
    <w:p>
      <w:pPr>
        <w:jc w:val="center"/>
        <w:rPr>
          <w:rFonts w:ascii="黑体" w:eastAsia="黑体"/>
        </w:rPr>
      </w:pPr>
      <w:r>
        <w:rPr>
          <w:rFonts w:ascii="黑体" w:eastAsia="黑体" w:hint="eastAsia"/>
        </w:rPr>
        <w:t>第七章  法律责任</w:t>
      </w:r>
    </w:p>
    <w:p>
      <w:pPr>
        <w:ind w:firstLineChars="200" w:firstLine="631"/>
      </w:pPr>
      <w:r>
        <w:rPr>
          <w:rFonts w:ascii="黑体" w:eastAsia="黑体" w:hint="eastAsia"/>
        </w:rPr>
        <w:t>第十七条</w:t>
      </w:r>
      <w:r>
        <w:t xml:space="preserve">  对不按要求报送有关资料的县区、园区，市财政局会同市住建局在分配专项资金时，将酌情扣减分配给该地区的专项资金数额，并将扣减资金进行重新分配。</w:t>
      </w:r>
    </w:p>
    <w:p>
      <w:pPr>
        <w:ind w:firstLineChars="200" w:firstLine="631"/>
      </w:pPr>
      <w:r>
        <w:t>对年底专项资金结余较多的地区，市财政局将会同市住建局酌情减少安排该地区下一年度专项资金数额，并将扣减资金进行重新分配。</w:t>
      </w:r>
    </w:p>
    <w:p>
      <w:pPr>
        <w:ind w:firstLineChars="200" w:firstLine="631"/>
      </w:pPr>
      <w:r>
        <w:rPr>
          <w:rFonts w:ascii="黑体" w:eastAsia="黑体" w:hint="eastAsia"/>
        </w:rPr>
        <w:t>第十八条</w:t>
      </w:r>
      <w:r>
        <w:t xml:space="preserve">  单位和个人违反本办法规定，弄虚作假，采取虚报、多报等方式骗取专项资金，或者不按规定使用专项资金的，依照《财政违法行为处罚处分条例》等国家规定追究法律责任。</w:t>
      </w:r>
    </w:p>
    <w:p>
      <w:pPr>
        <w:ind w:firstLineChars="200" w:firstLine="631"/>
      </w:pPr>
      <w:r>
        <w:t>负责专项资金审核、分配、管理工作的县区、园区财政部门、住房保障部门及其工作人员，存在违反规定分配资金，以及其他滥用职权、玩忽职守、衔私舞弊等违法违纪行为的，按照《预算法》、《公务员法》、《行政监察法》、《财政违法行为处罚处分条例》等国家有关规定追究相应责任；涉嫌犯罪的，移送司法机关处理。</w:t>
      </w:r>
    </w:p>
    <w:p>
      <w:pPr>
        <w:jc w:val="center"/>
        <w:rPr>
          <w:rFonts w:ascii="黑体" w:eastAsia="黑体"/>
        </w:rPr>
      </w:pPr>
      <w:r>
        <w:rPr>
          <w:rFonts w:ascii="黑体" w:eastAsia="黑体" w:hint="eastAsia"/>
        </w:rPr>
        <w:t>第八章</w:t>
        <w:tab/>
        <w:t>附则</w:t>
      </w:r>
    </w:p>
    <w:p>
      <w:pPr>
        <w:ind w:firstLineChars="200" w:firstLine="631"/>
      </w:pPr>
      <w:r>
        <w:rPr>
          <w:rFonts w:ascii="黑体" w:eastAsia="黑体" w:hint="eastAsia"/>
        </w:rPr>
        <w:t>第十九条</w:t>
      </w:r>
      <w:r>
        <w:t xml:space="preserve">  县</w:t>
      </w:r>
      <w:r>
        <w:rPr>
          <w:rFonts w:hint="eastAsia"/>
        </w:rPr>
        <w:t>(</w:t>
      </w:r>
      <w:r>
        <w:t>区)、园区财政部门会同同级住房保障部门可根据本办法，结合当地实际，制定具体实施办法，并报市财政局、市住建局备案。</w:t>
      </w:r>
    </w:p>
    <w:p>
      <w:pPr>
        <w:ind w:firstLineChars="200" w:firstLine="631"/>
      </w:pPr>
      <w:r>
        <w:rPr>
          <w:rFonts w:ascii="黑体" w:eastAsia="黑体" w:hint="eastAsia"/>
        </w:rPr>
        <w:t>第二十条</w:t>
      </w:r>
      <w:r>
        <w:t xml:space="preserve">  按照</w:t>
      </w:r>
      <w:bookmarkStart w:id="0" w:name="_GoBack"/>
      <w:bookmarkEnd w:id="0"/>
      <w:r>
        <w:t>财政厅要求，市财政局收到中央和省级财政下达的对公共租赁住房配套基础设施补助等专项资金预算，参照本办法分配下达。</w:t>
      </w:r>
    </w:p>
    <w:p>
      <w:pPr>
        <w:ind w:firstLineChars="200" w:firstLine="631"/>
      </w:pPr>
      <w:r>
        <w:rPr>
          <w:rFonts w:ascii="黑体" w:eastAsia="黑体" w:hint="eastAsia"/>
        </w:rPr>
        <w:t>第二十一条</w:t>
      </w:r>
      <w:r>
        <w:t xml:space="preserve">  本办法自2017年10月8日起施行</w:t>
      </w:r>
      <w:r>
        <w:rPr>
          <w:rFonts w:hint="eastAsia"/>
        </w:rPr>
        <w:t>，有效期两年。</w:t>
      </w:r>
    </w:p>
    <w:p/>
    <w:p>
      <w:pPr>
        <w:ind w:firstLineChars="200" w:firstLine="631"/>
      </w:pPr>
      <w:r>
        <w:t>附件：</w:t>
      </w:r>
      <w:r>
        <w:rPr>
          <w:rFonts w:hint="eastAsia"/>
        </w:rPr>
        <w:t>1. 城镇住房保障家庭租赁补贴计划和实施情况表</w:t>
      </w:r>
    </w:p>
    <w:p>
      <w:pPr>
        <w:ind w:firstLineChars="200" w:firstLine="631"/>
      </w:pPr>
      <w:r>
        <w:rPr>
          <w:rFonts w:hint="eastAsia"/>
        </w:rPr>
        <w:t xml:space="preserve">      2. 城市棚户区改造项目计划和完成情况表</w:t>
      </w:r>
    </w:p>
    <w:p>
      <w:pPr>
        <w:ind w:firstLineChars="200" w:firstLine="631"/>
      </w:pPr>
      <w:r>
        <w:rPr>
          <w:rFonts w:hint="eastAsia"/>
        </w:rPr>
        <w:t xml:space="preserve">      3. 公共租赁住房项目计划和完成情况表</w:t>
      </w:r>
    </w:p>
    <w:p>
      <w:pPr>
        <w:ind w:firstLineChars="200" w:firstLine="631"/>
        <w:rPr>
          <w:spacing w:val="-6"/>
        </w:rPr>
      </w:pPr>
      <w:r>
        <w:rPr>
          <w:rFonts w:hint="eastAsia"/>
        </w:rPr>
        <w:t xml:space="preserve">      </w:t>
      </w:r>
      <w:r>
        <w:rPr>
          <w:rFonts w:hint="eastAsia"/>
          <w:spacing w:val="-6"/>
        </w:rPr>
        <w:t>4. 中央财政城镇保障性安居工程专项资金收支情况表</w:t>
      </w:r>
    </w:p>
    <w:p>
      <w:pPr>
        <w:ind w:firstLineChars="200" w:firstLine="631"/>
        <w:rPr>
          <w:spacing w:val="-6"/>
        </w:rPr>
      </w:pPr>
      <w:r>
        <w:rPr>
          <w:rFonts w:hint="eastAsia"/>
        </w:rPr>
        <w:t xml:space="preserve">     </w:t>
      </w:r>
      <w:r>
        <w:rPr>
          <w:rFonts w:hint="eastAsia"/>
          <w:spacing w:val="-6"/>
        </w:rPr>
        <w:t xml:space="preserve"> 5. 城镇保障性安居工程财政资金绩效评价量化指标表</w:t>
      </w:r>
    </w:p>
    <w:p>
      <w:pPr>
        <w:ind w:firstLineChars="200" w:firstLine="631"/>
      </w:pPr>
    </w:p>
    <w:p>
      <w:pPr>
        <w:sectPr>
          <w:footerReference w:type="default" r:id="rId2"/>
          <w:footerReference w:type="even" r:id="rId3"/>
          <w:pgSz w:w="11906" w:h="16838"/>
          <w:pgMar w:top="2098" w:right="1474" w:bottom="1985" w:left="1588" w:header="851" w:footer="1701" w:gutter="0"/>
          <w:pgNumType w:fmt="numberInDash"/>
          <w:docGrid w:type="linesAndChars" w:linePitch="579" w:charSpace="-849"/>
        </w:sectPr>
      </w:pPr>
    </w:p>
    <w:p/>
    <w:p/>
    <w:p/>
    <w:p/>
    <w:p/>
    <w:p/>
    <w:p/>
    <w:p/>
    <w:p/>
    <w:p/>
    <w:p/>
    <w:p/>
    <w:p/>
    <w:p/>
    <w:p/>
    <w:p/>
    <w:p/>
    <w:p/>
    <w:p>
      <w:pPr>
        <w:spacing w:line="900" w:lineRule="exact"/>
      </w:pPr>
    </w:p>
    <w:p>
      <w:pPr>
        <w:spacing w:line="800" w:lineRule="exact"/>
        <w:ind w:firstLineChars="200" w:firstLine="631"/>
      </w:pPr>
    </w:p>
    <w:p>
      <w:pPr>
        <w:ind w:leftChars="100" w:left="315" w:rightChars="100" w:right="315"/>
        <w:jc w:val="center"/>
      </w:pPr>
      <w:r>
        <w:rPr>
          <w:rFonts w:hint="eastAsia"/>
          <w:sz w:val="28"/>
          <w:szCs w:val="28"/>
          <w:lang w:val="en-US" w:eastAsia="zh-CN"/>
        </w:rPr>
        <mc:AlternateContent>
          <mc:Choice Requires="wps">
            <w:drawing>
              <wp:anchor distT="0" distB="0" distL="91438" distR="91438" simplePos="0" relativeHeight="20" behindDoc="0" locked="0" layoutInCell="1" hidden="0" allowOverlap="1">
                <wp:simplePos x="0" y="0"/>
                <wp:positionH relativeFrom="column">
                  <wp:posOffset>0</wp:posOffset>
                </wp:positionH>
                <wp:positionV relativeFrom="paragraph">
                  <wp:posOffset>0</wp:posOffset>
                </wp:positionV>
                <wp:extent cx="5618479" cy="0"/>
                <wp:effectExtent l="0" t="0" r="0" b="0"/>
                <wp:wrapNone/>
                <wp:docPr id="12" name="直线 12"/>
                <wp:cNvGraphicFramePr>
                  <a:graphicFrameLocks noChangeAspect="0"/>
                </wp:cNvGraphicFramePr>
                <a:graphic>
                  <a:graphicData uri="http://schemas.microsoft.com/office/word/2010/wordprocessingShape">
                    <wps:wsp>
                      <wps:cNvSpPr/>
                      <wps:spPr>
                        <a:xfrm rot="0">
                          <a:off x="0" y="0"/>
                          <a:ext cx="5618479" cy="0"/>
                        </a:xfrm>
                        <a:prstGeom prst="line"/>
                        <a:noFill/>
                        <a:ln w="9525"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type="#_x0000_t20" id="直线 13" o:spid="_x0000_s13" from="0.0pt,0.0pt" to="442.4pt,0.0pt" filled="f" stroked="t" style="position:absolute;&#13;&#10;z-index:20;&#13;&#10;mso-position-horizontal:absolute;&#13;&#10;mso-position-vertical:absolute;&#13;&#10;mso-wrap-distance-left:7.1998425pt;&#13;&#10;mso-wrap-distance-right:7.1998425pt;">
                <v:stroke color="000000"/>
              </v:line>
            </w:pict>
          </mc:Fallback>
        </mc:AlternateContent>
      </w:r>
      <w:r>
        <w:rPr>
          <w:rFonts w:hint="eastAsia"/>
          <w:sz w:val="28"/>
          <w:szCs w:val="28"/>
          <w:lang w:val="en-US" w:eastAsia="zh-CN"/>
        </w:rPr>
        <mc:AlternateContent>
          <mc:Choice Requires="wps">
            <w:drawing>
              <wp:anchor distT="0" distB="0" distL="91438" distR="91438" simplePos="0" relativeHeight="19" behindDoc="0" locked="0" layoutInCell="1" hidden="0" allowOverlap="1">
                <wp:simplePos x="0" y="0"/>
                <wp:positionH relativeFrom="column">
                  <wp:posOffset>0</wp:posOffset>
                </wp:positionH>
                <wp:positionV relativeFrom="paragraph">
                  <wp:posOffset>367659</wp:posOffset>
                </wp:positionV>
                <wp:extent cx="5618479" cy="0"/>
                <wp:effectExtent l="0" t="0" r="0" b="0"/>
                <wp:wrapNone/>
                <wp:docPr id="14" name="直线 14"/>
                <wp:cNvGraphicFramePr>
                  <a:graphicFrameLocks noChangeAspect="0"/>
                </wp:cNvGraphicFramePr>
                <a:graphic>
                  <a:graphicData uri="http://schemas.microsoft.com/office/word/2010/wordprocessingShape">
                    <wps:wsp>
                      <wps:cNvSpPr/>
                      <wps:spPr>
                        <a:xfrm rot="0">
                          <a:off x="0" y="0"/>
                          <a:ext cx="5618479" cy="0"/>
                        </a:xfrm>
                        <a:prstGeom prst="line"/>
                        <a:noFill/>
                        <a:ln w="9525"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type="#_x0000_t20" id="直线 15" o:spid="_x0000_s15" from="0.0pt,28.949558pt" to="442.4pt,28.949558pt" filled="f" stroked="t" style="position:absolute;&#13;&#10;z-index:19;&#13;&#10;mso-position-horizontal:absolute;&#13;&#10;mso-position-vertical:absolute;&#13;&#10;mso-wrap-distance-left:7.1998425pt;&#13;&#10;mso-wrap-distance-right:7.1998425pt;">
                <v:stroke color="000000"/>
              </v:line>
            </w:pict>
          </mc:Fallback>
        </mc:AlternateContent>
      </w:r>
      <w:r>
        <w:rPr>
          <w:rFonts w:hint="eastAsia"/>
          <w:sz w:val="28"/>
          <w:szCs w:val="28"/>
        </w:rPr>
        <w:t xml:space="preserve">遂宁市财政局办公室                   </w:t>
      </w:r>
      <w:r>
        <w:rPr>
          <w:sz w:val="28"/>
          <w:szCs w:val="28"/>
        </w:rPr>
        <w:t xml:space="preserve"> </w:t>
      </w:r>
      <w:r>
        <w:rPr>
          <w:rFonts w:hint="eastAsia"/>
          <w:sz w:val="28"/>
          <w:szCs w:val="28"/>
        </w:rPr>
        <w:t xml:space="preserve">    2017年9月</w:t>
      </w:r>
      <w:r>
        <w:rPr>
          <w:sz w:val="28"/>
          <w:szCs w:val="28"/>
        </w:rPr>
        <w:t>8</w:t>
      </w:r>
      <w:r>
        <w:rPr>
          <w:rFonts w:hint="eastAsia"/>
          <w:sz w:val="28"/>
          <w:szCs w:val="28"/>
        </w:rPr>
        <w:t>日印发</w:t>
      </w:r>
    </w:p>
    <w:sectPr>
      <w:pgSz w:w="11907" w:h="16840"/>
      <w:pgMar w:top="2098" w:right="1474" w:bottom="1985" w:left="1588" w:header="851" w:footer="1701" w:gutter="0"/>
      <w:pgNumType w:fmt="numberInDash"/>
      <w:docGrid w:type="linesAndChars" w:linePitch="579" w:charSpace="-849"/>
    </w:sectPr>
  </w:body>
</w:document>
</file>

<file path=word/fontTable.xml><?xml version="1.0" encoding="utf-8"?>
<w:fonts xmlns:w="http://schemas.openxmlformats.org/wordprocessingml/2006/main" xmlns:r="http://schemas.openxmlformats.org/officeDocument/2006/relationships">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variable"/>
    <w:sig w:usb0="00000001" w:usb1="080E0000" w:usb2="0000001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6"/>
      <w:tabs>
        <w:tab w:val="center" w:pos="4153"/>
        <w:tab w:val="right" w:pos="8306"/>
      </w:tabs>
      <w:ind w:right="360" w:firstLine="360"/>
    </w:pPr>
    <w:r>
      <mc:AlternateContent>
        <mc:Choice Requires="wps">
          <w:drawing>
            <wp:anchor distT="0" distB="0" distL="0" distR="0" simplePos="0" relativeHeight="16" behindDoc="0" locked="0" layoutInCell="1" hidden="0" allowOverlap="1">
              <wp:simplePos x="0" y="0"/>
              <wp:positionH relativeFrom="margin">
                <wp:align>outside</wp:align>
              </wp:positionH>
              <wp:positionV relativeFrom="paragraph">
                <wp:posOffset>0</wp:posOffset>
              </wp:positionV>
              <wp:extent cx="965216" cy="230251"/>
              <wp:effectExtent l="0" t="0" r="0" b="0"/>
              <wp:wrapSquare wrapText="bothSides"/>
              <wp:docPr id="1" name="矩形 1"/>
              <wp:cNvGraphicFramePr>
                <a:graphicFrameLocks noChangeAspect="0"/>
              </wp:cNvGraphicFramePr>
              <a:graphic>
                <a:graphicData uri="http://schemas.microsoft.com/office/word/2010/wordprocessingShape">
                  <wps:wsp>
                    <wps:cNvSpPr/>
                    <wps:spPr>
                      <a:xfrm rot="0">
                        <a:off x="0" y="0"/>
                        <a:ext cx="965216" cy="230251"/>
                      </a:xfrm>
                      <a:prstGeom prst="rect"/>
                      <a:noFill/>
                      <a:ln w="9525" cmpd="sng">
                        <a:noFill/>
                        <a:prstDash val="solid"/>
                        <a:miter/>
                      </a:ln>
                    </wps:spPr>
                    <wps:txbx id="2">
                      <w:txbxContent>
                        <w:p>
                          <w:pPr>
                            <w:pStyle w:val="16"/>
                            <w:tabs>
                              <w:tab w:val="center" w:pos="4153"/>
                              <w:tab w:val="right" w:pos="8306"/>
                            </w:tabs>
                            <w:ind w:leftChars="100" w:left="320" w:rightChars="100" w:right="320"/>
                            <w:rPr>
                              <w:rFonts w:ascii="宋体" w:eastAsia="宋体" w:hint="eastAsia"/>
                              <w:sz w:val="28"/>
                            </w:rPr>
                          </w:pPr>
                          <w:r>
                            <w:rPr>
                              <w:rStyle w:val="17"/>
                              <w:rFonts w:ascii="宋体" w:eastAsia="宋体" w:hint="eastAsia"/>
                              <w:sz w:val="28"/>
                            </w:rPr>
                            <w:fldChar w:fldCharType="begin"/>
                          </w:r>
                          <w:r>
                            <w:rPr>
                              <w:rStyle w:val="17"/>
                              <w:rFonts w:ascii="宋体" w:eastAsia="宋体" w:hint="eastAsia"/>
                              <w:sz w:val="28"/>
                            </w:rPr>
                            <w:instrText>Page</w:instrText>
                          </w:r>
                          <w:r>
                            <w:rPr>
                              <w:rStyle w:val="17"/>
                              <w:rFonts w:ascii="宋体" w:eastAsia="宋体" w:hint="eastAsia"/>
                              <w:sz w:val="28"/>
                            </w:rPr>
                            <w:fldChar w:fldCharType="separate"/>
                          </w:r>
                          <w:r>
                            <w:rPr>
                              <w:rStyle w:val="17"/>
                              <w:rFonts w:ascii="宋体" w:eastAsia="宋体" w:hint="eastAsia"/>
                              <w:sz w:val="28"/>
                            </w:rPr>
                            <w:t>- 1 -</w:t>
                          </w:r>
                          <w:r>
                            <w:rPr>
                              <w:rStyle w:val="17"/>
                              <w:rFonts w:ascii="宋体" w:eastAsia="宋体" w:hint="eastAsia"/>
                              <w:sz w:val="28"/>
                            </w:rPr>
                            <w:fldChar w:fldCharType="end"/>
                          </w:r>
                        </w:p>
                      </w:txbxContent>
                    </wps:txbx>
                    <wps:bodyPr vert="horz" wrap="none" lIns="12708" tIns="0" rIns="12708" bIns="0" anchor="t" anchorCtr="0" upright="1">
                      <a:spAutoFit/>
                    </wps:bodyPr>
                  </wps:wsp>
                </a:graphicData>
              </a:graphic>
            </wp:anchor>
          </w:drawing>
        </mc:Choice>
        <mc:Fallback>
          <w:pict>
            <v:rect type="#_x0000_t1" id="矩形 3" o:spid="_x0000_s3" filled="f" stroked="f" style="position:absolute;&#13;&#10;margin-left:0.0pt;&#13;&#10;margin-top:0.0pt;&#13;&#10;width:76.00127pt;&#13;&#10;height:18.13002pt;&#13;&#10;z-index:16;&#13;&#10;mso-position-horizontal:outside;&#13;&#10;mso-position-horizontal-relative:margin;&#13;&#10;mso-position-vertical:absolute;&#13;&#10;mso-wrap-distance-left:0.0pt;&#13;&#10;mso-wrap-distance-right:0.0pt;&#13;&#10;mso-wrap-style:none;">
              <v:stroke color="000000"/>
              <v:textbox id="849" inset="0.353mm,0mm,0.353mm,0mm" o:insetmode="custom" style="layout-flow:horizontal;&#13;&#10;v-text-anchor:top;&#13;&#10;mso-fit-shape-to-text:t;">
                <w:txbxContent>
                  <w:p>
                    <w:pPr>
                      <w:pStyle w:val="16"/>
                      <w:tabs>
                        <w:tab w:val="center" w:pos="4153"/>
                        <w:tab w:val="right" w:pos="8306"/>
                      </w:tabs>
                      <w:ind w:leftChars="100" w:left="320" w:rightChars="100" w:right="320"/>
                      <w:rPr>
                        <w:rFonts w:ascii="宋体" w:eastAsia="宋体" w:hint="eastAsia"/>
                        <w:sz w:val="28"/>
                      </w:rPr>
                    </w:pPr>
                    <w:r>
                      <w:rPr>
                        <w:rStyle w:val="17"/>
                        <w:rFonts w:ascii="宋体" w:eastAsia="宋体" w:hint="eastAsia"/>
                        <w:sz w:val="28"/>
                      </w:rPr>
                      <w:fldChar w:fldCharType="begin"/>
                    </w:r>
                    <w:r>
                      <w:rPr>
                        <w:rStyle w:val="17"/>
                        <w:rFonts w:ascii="宋体" w:eastAsia="宋体" w:hint="eastAsia"/>
                        <w:sz w:val="28"/>
                      </w:rPr>
                      <w:instrText>Page</w:instrText>
                    </w:r>
                    <w:r>
                      <w:rPr>
                        <w:rStyle w:val="17"/>
                        <w:rFonts w:ascii="宋体" w:eastAsia="宋体" w:hint="eastAsia"/>
                        <w:sz w:val="28"/>
                      </w:rPr>
                      <w:fldChar w:fldCharType="separate"/>
                    </w:r>
                    <w:r>
                      <w:rPr>
                        <w:rStyle w:val="17"/>
                        <w:rFonts w:ascii="宋体" w:eastAsia="宋体" w:hint="eastAsia"/>
                        <w:sz w:val="28"/>
                      </w:rPr>
                      <w:t>- 1 -</w:t>
                    </w:r>
                    <w:r>
                      <w:rPr>
                        <w:rStyle w:val="17"/>
                        <w:rFonts w:ascii="宋体" w:eastAsia="宋体" w:hint="eastAsia"/>
                        <w:sz w:val="28"/>
                      </w:rPr>
                      <w:fldChar w:fldCharType="end"/>
                    </w:r>
                  </w:p>
                </w:txbxContent>
              </v:textbox>
              <w10:wrap type="square"/>
            </v:rect>
          </w:pict>
        </mc:Fallback>
      </mc:AlternateConten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6"/>
      <w:tabs>
        <w:tab w:val="center" w:pos="4153"/>
        <w:tab w:val="right" w:pos="8306"/>
      </w:tabs>
      <w:ind w:right="360" w:firstLine="360"/>
    </w:pPr>
    <w:r>
      <mc:AlternateContent>
        <mc:Choice Requires="wps">
          <w:drawing>
            <wp:anchor distT="0" distB="0" distL="0" distR="0" simplePos="0" relativeHeight="15" behindDoc="0" locked="0" layoutInCell="1" hidden="0" allowOverlap="1">
              <wp:simplePos x="0" y="0"/>
              <wp:positionH relativeFrom="margin">
                <wp:align>outside</wp:align>
              </wp:positionH>
              <wp:positionV relativeFrom="paragraph">
                <wp:posOffset>0</wp:posOffset>
              </wp:positionV>
              <wp:extent cx="215823" cy="131559"/>
              <wp:effectExtent l="0" t="0" r="0" b="0"/>
              <wp:wrapSquare wrapText="bothSides"/>
              <wp:docPr id="4" name="矩形 4"/>
              <wp:cNvGraphicFramePr>
                <a:graphicFrameLocks noChangeAspect="0"/>
              </wp:cNvGraphicFramePr>
              <a:graphic>
                <a:graphicData uri="http://schemas.microsoft.com/office/word/2010/wordprocessingShape">
                  <wps:wsp>
                    <wps:cNvSpPr/>
                    <wps:spPr>
                      <a:xfrm rot="0">
                        <a:off x="0" y="0"/>
                        <a:ext cx="215823" cy="131559"/>
                      </a:xfrm>
                      <a:prstGeom prst="rect"/>
                      <a:noFill/>
                      <a:ln w="9525" cmpd="sng">
                        <a:noFill/>
                        <a:prstDash val="solid"/>
                        <a:miter/>
                      </a:ln>
                    </wps:spPr>
                    <wps:txbx id="5">
                      <w:txbxContent>
                        <w:p>
                          <w:pPr>
                            <w:pStyle w:val="16"/>
                            <w:tabs>
                              <w:tab w:val="center" w:pos="4153"/>
                              <w:tab w:val="right" w:pos="8306"/>
                            </w:tabs>
                          </w:pPr>
                          <w:r>
                            <w:rPr>
                              <w:rStyle w:val="17"/>
                            </w:rPr>
                            <w:fldChar w:fldCharType="begin"/>
                          </w:r>
                          <w:r>
                            <w:rPr>
                              <w:rStyle w:val="17"/>
                            </w:rPr>
                            <w:instrText>Page</w:instrText>
                          </w:r>
                          <w:r>
                            <w:rPr>
                              <w:rStyle w:val="17"/>
                            </w:rPr>
                            <w:fldChar w:fldCharType="separate"/>
                          </w:r>
                          <w:r>
                            <w:rPr>
                              <w:rStyle w:val="17"/>
                            </w:rPr>
                            <w:t>- 1 -</w:t>
                          </w:r>
                          <w:r>
                            <w:rPr>
                              <w:rStyle w:val="17"/>
                            </w:rPr>
                            <w:fldChar w:fldCharType="end"/>
                          </w:r>
                        </w:p>
                      </w:txbxContent>
                    </wps:txbx>
                    <wps:bodyPr vert="horz" wrap="none" lIns="12708" tIns="0" rIns="12708" bIns="0" anchor="t" anchorCtr="0" upright="1">
                      <a:spAutoFit/>
                    </wps:bodyPr>
                  </wps:wsp>
                </a:graphicData>
              </a:graphic>
            </wp:anchor>
          </w:drawing>
        </mc:Choice>
        <mc:Fallback>
          <w:pict>
            <v:rect type="#_x0000_t1" id="矩形 6" o:spid="_x0000_s6" filled="f" stroked="f" style="position:absolute;&#13;&#10;margin-left:0.0pt;&#13;&#10;margin-top:0.0pt;&#13;&#10;width:16.994001pt;&#13;&#10;height:10.359pt;&#13;&#10;z-index:15;&#13;&#10;mso-position-horizontal:outside;&#13;&#10;mso-position-horizontal-relative:margin;&#13;&#10;mso-position-vertical:absolute;&#13;&#10;mso-wrap-distance-left:0.0pt;&#13;&#10;mso-wrap-distance-right:0.0pt;&#13;&#10;mso-wrap-style:none;">
              <v:stroke color="000000"/>
              <v:textbox id="848" inset="0.353mm,0mm,0.353mm,0mm" o:insetmode="custom" style="layout-flow:horizontal;&#13;&#10;v-text-anchor:top;&#13;&#10;mso-fit-shape-to-text:t;">
                <w:txbxContent>
                  <w:p>
                    <w:pPr>
                      <w:pStyle w:val="16"/>
                      <w:tabs>
                        <w:tab w:val="center" w:pos="4153"/>
                        <w:tab w:val="right" w:pos="8306"/>
                      </w:tabs>
                    </w:pPr>
                    <w:r>
                      <w:rPr>
                        <w:rStyle w:val="17"/>
                      </w:rPr>
                      <w:fldChar w:fldCharType="begin"/>
                    </w:r>
                    <w:r>
                      <w:rPr>
                        <w:rStyle w:val="17"/>
                      </w:rPr>
                      <w:instrText>Page</w:instrText>
                    </w:r>
                    <w:r>
                      <w:rPr>
                        <w:rStyle w:val="17"/>
                      </w:rPr>
                      <w:fldChar w:fldCharType="separate"/>
                    </w:r>
                    <w:r>
                      <w:rPr>
                        <w:rStyle w:val="17"/>
                      </w:rPr>
                      <w:t>- 1 -</w:t>
                    </w:r>
                    <w:r>
                      <w:rPr>
                        <w:rStyle w:val="17"/>
                      </w:rPr>
                      <w:fldChar w:fldCharType="end"/>
                    </w:r>
                  </w:p>
                </w:txbxContent>
              </v:textbox>
              <w10:wrap type="square"/>
            </v:rect>
          </w:pict>
        </mc:Fallback>
      </mc:AlternateConten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0"/>
  <w:bordersDoNotSurroundHeader/>
  <w:bordersDoNotSurroundFooter/>
  <w:defaultTabStop w:val="420"/>
  <w:mirrorMargins/>
  <w:drawingGridHorizontalSpacing w:val="158"/>
  <w:drawingGridVerticalSpacing w:val="579"/>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仿宋_GB2312" w:cs="Times New Roman" w:hAnsi="Times New Roman"/>
      <w:kern w:val="2"/>
      <w:sz w:val="32"/>
      <w:szCs w:val="3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character" w:styleId="17">
    <w:name w:val="page number"/>
    <w:basedOn w:val="10"/>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505</TotalTime>
  <Application>Yozo_Office</Application>
  <Pages>11</Pages>
  <Words>4038</Words>
  <Characters>4078</Characters>
  <Lines>229</Lines>
  <Paragraphs>71</Paragraphs>
  <CharactersWithSpaces>4202</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q</dc:creator>
  <cp:lastModifiedBy>er</cp:lastModifiedBy>
  <cp:revision>2</cp:revision>
  <cp:lastPrinted>2017-09-15T01:14:15Z</cp:lastPrinted>
  <dcterms:created xsi:type="dcterms:W3CDTF">2017-08-22T01:38:00Z</dcterms:created>
</cp:coreProperties>
</file>